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F7" w:rsidRPr="00955318" w:rsidRDefault="000A7BF7" w:rsidP="000A7BF7">
      <w:pPr>
        <w:spacing w:before="240" w:after="240" w:line="360" w:lineRule="auto"/>
        <w:jc w:val="both"/>
        <w:rPr>
          <w:rFonts w:ascii="Palatino Linotype" w:hAnsi="Palatino Linotype"/>
          <w:b/>
          <w:sz w:val="24"/>
          <w:szCs w:val="24"/>
        </w:rPr>
      </w:pPr>
      <w:r w:rsidRPr="00955318">
        <w:rPr>
          <w:b/>
          <w:noProof/>
          <w:sz w:val="24"/>
          <w:szCs w:val="24"/>
          <w:lang w:eastAsia="es-MX"/>
        </w:rPr>
        <mc:AlternateContent>
          <mc:Choice Requires="wps">
            <w:drawing>
              <wp:anchor distT="0" distB="0" distL="114300" distR="114300" simplePos="0" relativeHeight="251659264" behindDoc="1" locked="0" layoutInCell="0" allowOverlap="1" wp14:anchorId="1E6C7E71" wp14:editId="433B74E4">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57E0" w:rsidRDefault="005857E0" w:rsidP="000A7BF7">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6C7E71"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5857E0" w:rsidRDefault="005857E0" w:rsidP="000A7BF7">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955318">
        <w:rPr>
          <w:rFonts w:ascii="Palatino Linotype" w:hAnsi="Palatino Linotype"/>
          <w:b/>
          <w:sz w:val="24"/>
          <w:szCs w:val="24"/>
        </w:rPr>
        <w:t xml:space="preserve">VOTO </w:t>
      </w:r>
      <w:r w:rsidR="00441FCA" w:rsidRPr="00955318">
        <w:rPr>
          <w:rFonts w:ascii="Palatino Linotype" w:hAnsi="Palatino Linotype"/>
          <w:b/>
          <w:sz w:val="24"/>
          <w:szCs w:val="24"/>
        </w:rPr>
        <w:t>PARTICULAR QUE FORMULA</w:t>
      </w:r>
      <w:r w:rsidRPr="00955318">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MÉXICO Y M</w:t>
      </w:r>
      <w:r w:rsidR="006856E7" w:rsidRPr="00955318">
        <w:rPr>
          <w:rFonts w:ascii="Palatino Linotype" w:hAnsi="Palatino Linotype"/>
          <w:b/>
          <w:sz w:val="24"/>
          <w:szCs w:val="24"/>
        </w:rPr>
        <w:t>UNICIPIOS, EN LA DÉCIMA QUINTA</w:t>
      </w:r>
      <w:r w:rsidRPr="00955318">
        <w:rPr>
          <w:rFonts w:ascii="Palatino Linotype" w:hAnsi="Palatino Linotype"/>
          <w:b/>
          <w:sz w:val="24"/>
          <w:szCs w:val="24"/>
        </w:rPr>
        <w:t xml:space="preserve"> SES</w:t>
      </w:r>
      <w:r w:rsidR="00CF3264" w:rsidRPr="00955318">
        <w:rPr>
          <w:rFonts w:ascii="Palatino Linotype" w:hAnsi="Palatino Linotype"/>
          <w:b/>
          <w:sz w:val="24"/>
          <w:szCs w:val="24"/>
        </w:rPr>
        <w:t>IÓN ORDINARIA DE</w:t>
      </w:r>
      <w:r w:rsidR="006856E7" w:rsidRPr="00955318">
        <w:rPr>
          <w:rFonts w:ascii="Palatino Linotype" w:hAnsi="Palatino Linotype"/>
          <w:b/>
          <w:sz w:val="24"/>
          <w:szCs w:val="24"/>
        </w:rPr>
        <w:t>L VEINTINUEVE DE ABRIL</w:t>
      </w:r>
      <w:r w:rsidR="007D026D" w:rsidRPr="00955318">
        <w:rPr>
          <w:rFonts w:ascii="Palatino Linotype" w:hAnsi="Palatino Linotype"/>
          <w:b/>
          <w:sz w:val="24"/>
          <w:szCs w:val="24"/>
        </w:rPr>
        <w:t xml:space="preserve"> DE DOS MIL DIECINUEVE</w:t>
      </w:r>
      <w:r w:rsidRPr="00955318">
        <w:rPr>
          <w:rFonts w:ascii="Palatino Linotype" w:hAnsi="Palatino Linotype"/>
          <w:b/>
          <w:sz w:val="24"/>
          <w:szCs w:val="24"/>
        </w:rPr>
        <w:t xml:space="preserve">, EN EL RECURSO DE REVISIÓN </w:t>
      </w:r>
      <w:r w:rsidR="006856E7" w:rsidRPr="00955318">
        <w:rPr>
          <w:rFonts w:ascii="Palatino Linotype" w:hAnsi="Palatino Linotype"/>
          <w:b/>
          <w:bCs/>
          <w:sz w:val="24"/>
          <w:szCs w:val="24"/>
        </w:rPr>
        <w:t>00472/INFOEM/IP/RR/2019 y acumulado</w:t>
      </w:r>
      <w:r w:rsidR="007D026D" w:rsidRPr="00955318">
        <w:rPr>
          <w:b/>
          <w:noProof/>
          <w:sz w:val="24"/>
          <w:szCs w:val="24"/>
          <w:lang w:eastAsia="es-MX"/>
        </w:rPr>
        <w:t>.</w:t>
      </w:r>
    </w:p>
    <w:p w:rsidR="000A7BF7" w:rsidRPr="00955318" w:rsidRDefault="000A7BF7" w:rsidP="000A7BF7">
      <w:pPr>
        <w:spacing w:before="240" w:after="240" w:line="360" w:lineRule="auto"/>
        <w:jc w:val="both"/>
        <w:rPr>
          <w:rFonts w:ascii="Palatino Linotype" w:hAnsi="Palatino Linotype"/>
          <w:sz w:val="24"/>
          <w:szCs w:val="24"/>
        </w:rPr>
      </w:pPr>
      <w:r w:rsidRPr="00955318">
        <w:rPr>
          <w:rFonts w:ascii="Palatino Linotype" w:hAnsi="Palatino Linotype"/>
          <w:sz w:val="24"/>
          <w:szCs w:val="24"/>
        </w:rPr>
        <w:t xml:space="preserve">El Pleno del Instituto de Transparencia, Acceso a la Información Pública y Protección de Datos Personales del Estado de México resolvió por unanimidad de votos, la resolución relativa al recurso de revisión </w:t>
      </w:r>
      <w:r w:rsidR="006856E7" w:rsidRPr="00955318">
        <w:rPr>
          <w:rFonts w:ascii="Palatino Linotype" w:hAnsi="Palatino Linotype"/>
          <w:b/>
          <w:bCs/>
          <w:sz w:val="24"/>
          <w:szCs w:val="24"/>
        </w:rPr>
        <w:t xml:space="preserve">00472/INFOEM/IP/RR/2019 </w:t>
      </w:r>
      <w:r w:rsidR="00275E86" w:rsidRPr="00955318">
        <w:rPr>
          <w:rFonts w:ascii="Palatino Linotype" w:hAnsi="Palatino Linotype"/>
          <w:sz w:val="24"/>
          <w:szCs w:val="24"/>
        </w:rPr>
        <w:t>presentada por la</w:t>
      </w:r>
      <w:r w:rsidRPr="00955318">
        <w:rPr>
          <w:rFonts w:ascii="Palatino Linotype" w:hAnsi="Palatino Linotype"/>
          <w:sz w:val="24"/>
          <w:szCs w:val="24"/>
        </w:rPr>
        <w:t xml:space="preserve"> Comisionad</w:t>
      </w:r>
      <w:r w:rsidR="00275E86" w:rsidRPr="00955318">
        <w:rPr>
          <w:rFonts w:ascii="Palatino Linotype" w:hAnsi="Palatino Linotype"/>
          <w:sz w:val="24"/>
          <w:szCs w:val="24"/>
        </w:rPr>
        <w:t>a</w:t>
      </w:r>
      <w:r w:rsidRPr="00955318">
        <w:rPr>
          <w:rFonts w:ascii="Palatino Linotype" w:hAnsi="Palatino Linotype"/>
          <w:sz w:val="24"/>
          <w:szCs w:val="24"/>
        </w:rPr>
        <w:t xml:space="preserve"> </w:t>
      </w:r>
      <w:r w:rsidR="00275E86" w:rsidRPr="00955318">
        <w:rPr>
          <w:rFonts w:ascii="Palatino Linotype" w:hAnsi="Palatino Linotype"/>
          <w:sz w:val="24"/>
          <w:szCs w:val="24"/>
        </w:rPr>
        <w:t xml:space="preserve">Eva </w:t>
      </w:r>
      <w:proofErr w:type="spellStart"/>
      <w:r w:rsidR="00275E86" w:rsidRPr="00955318">
        <w:rPr>
          <w:rFonts w:ascii="Palatino Linotype" w:hAnsi="Palatino Linotype"/>
          <w:sz w:val="24"/>
          <w:szCs w:val="24"/>
        </w:rPr>
        <w:t>Abaid</w:t>
      </w:r>
      <w:proofErr w:type="spellEnd"/>
      <w:r w:rsidR="00275E86" w:rsidRPr="00955318">
        <w:rPr>
          <w:rFonts w:ascii="Palatino Linotype" w:hAnsi="Palatino Linotype"/>
          <w:sz w:val="24"/>
          <w:szCs w:val="24"/>
        </w:rPr>
        <w:t xml:space="preserve"> </w:t>
      </w:r>
      <w:proofErr w:type="spellStart"/>
      <w:r w:rsidR="00275E86" w:rsidRPr="00955318">
        <w:rPr>
          <w:rFonts w:ascii="Palatino Linotype" w:hAnsi="Palatino Linotype"/>
          <w:sz w:val="24"/>
          <w:szCs w:val="24"/>
        </w:rPr>
        <w:t>Yapur</w:t>
      </w:r>
      <w:proofErr w:type="spellEnd"/>
      <w:r w:rsidRPr="00955318">
        <w:rPr>
          <w:rFonts w:ascii="Palatino Linotype" w:hAnsi="Palatino Linotype"/>
          <w:sz w:val="24"/>
          <w:szCs w:val="24"/>
        </w:rPr>
        <w:t xml:space="preserve">, respecto de la cual, el Comisionado Javier Martínez Cruz, formula </w:t>
      </w:r>
      <w:r w:rsidRPr="00955318">
        <w:rPr>
          <w:rFonts w:ascii="Palatino Linotype" w:hAnsi="Palatino Linotype"/>
          <w:b/>
          <w:sz w:val="24"/>
          <w:szCs w:val="24"/>
        </w:rPr>
        <w:t>VOTO PARTICULAR</w:t>
      </w:r>
      <w:r w:rsidRPr="00955318">
        <w:rPr>
          <w:rFonts w:ascii="Palatino Linotype" w:hAnsi="Palatino Linotype"/>
          <w:sz w:val="24"/>
          <w:szCs w:val="24"/>
        </w:rPr>
        <w:t xml:space="preserve">, con fundamento en el </w:t>
      </w:r>
      <w:r w:rsidR="00441FCA" w:rsidRPr="00955318">
        <w:rPr>
          <w:rFonts w:ascii="Palatino Linotype" w:hAnsi="Palatino Linotype"/>
          <w:sz w:val="24"/>
          <w:szCs w:val="24"/>
        </w:rPr>
        <w:t>artículo 14</w:t>
      </w:r>
      <w:r w:rsidRPr="00955318">
        <w:rPr>
          <w:rFonts w:ascii="Palatino Linotype" w:hAnsi="Palatino Linotype"/>
          <w:sz w:val="24"/>
          <w:szCs w:val="24"/>
        </w:rPr>
        <w:t xml:space="preserve"> </w:t>
      </w:r>
      <w:r w:rsidR="00441FCA" w:rsidRPr="00955318">
        <w:rPr>
          <w:rFonts w:ascii="Palatino Linotype" w:hAnsi="Palatino Linotype"/>
          <w:sz w:val="24"/>
          <w:szCs w:val="24"/>
        </w:rPr>
        <w:t>fracciones X y</w:t>
      </w:r>
      <w:r w:rsidRPr="00955318">
        <w:rPr>
          <w:rFonts w:ascii="Palatino Linotype" w:hAnsi="Palatino Linotype"/>
          <w:sz w:val="24"/>
          <w:szCs w:val="24"/>
        </w:rPr>
        <w:t xml:space="preserve"> XI del Reglamento del Instituto de Transparencia, Acceso a la Información Pública y Protección de Personales Datos del Estado de México.</w:t>
      </w:r>
    </w:p>
    <w:p w:rsidR="00C55AE5" w:rsidRPr="00955318" w:rsidRDefault="006856E7" w:rsidP="000A7BF7">
      <w:pPr>
        <w:spacing w:before="240" w:after="240" w:line="360" w:lineRule="auto"/>
        <w:jc w:val="both"/>
        <w:rPr>
          <w:rFonts w:ascii="Palatino Linotype" w:hAnsi="Palatino Linotype"/>
          <w:sz w:val="24"/>
          <w:szCs w:val="24"/>
        </w:rPr>
      </w:pPr>
      <w:r w:rsidRPr="00955318">
        <w:rPr>
          <w:rFonts w:ascii="Palatino Linotype" w:hAnsi="Palatino Linotype"/>
          <w:sz w:val="24"/>
          <w:szCs w:val="24"/>
        </w:rPr>
        <w:t>En primer término debemos recordar que la solicitante requirió la evidencia de capacitación y actualización de la persona que funge como Titular de la Unidad de Transparencia del SUJETO OBLIGADO; así como, el Histórico de capacitaciones en materia de Transparencia que el personal de la institución ha llevado a cabo, con las constancias o evidencias correspondientes.</w:t>
      </w:r>
    </w:p>
    <w:p w:rsidR="00C55AE5" w:rsidRPr="00955318" w:rsidRDefault="00C55AE5" w:rsidP="000A7BF7">
      <w:pPr>
        <w:spacing w:before="240" w:after="240" w:line="360" w:lineRule="auto"/>
        <w:jc w:val="both"/>
        <w:rPr>
          <w:noProof/>
          <w:lang w:eastAsia="es-MX"/>
        </w:rPr>
      </w:pPr>
    </w:p>
    <w:p w:rsidR="006856E7" w:rsidRPr="00955318" w:rsidRDefault="006856E7" w:rsidP="000A7BF7">
      <w:pPr>
        <w:spacing w:before="240" w:after="240" w:line="360" w:lineRule="auto"/>
        <w:jc w:val="both"/>
        <w:rPr>
          <w:noProof/>
          <w:lang w:eastAsia="es-MX"/>
        </w:rPr>
      </w:pPr>
    </w:p>
    <w:p w:rsidR="006856E7" w:rsidRPr="00955318" w:rsidRDefault="006856E7" w:rsidP="000A7BF7">
      <w:pPr>
        <w:spacing w:before="240" w:after="240" w:line="360" w:lineRule="auto"/>
        <w:jc w:val="both"/>
        <w:rPr>
          <w:noProof/>
          <w:lang w:eastAsia="es-MX"/>
        </w:rPr>
      </w:pPr>
    </w:p>
    <w:p w:rsidR="006856E7" w:rsidRPr="00955318" w:rsidRDefault="006856E7" w:rsidP="000A7BF7">
      <w:pPr>
        <w:spacing w:before="240" w:after="240" w:line="360" w:lineRule="auto"/>
        <w:jc w:val="both"/>
        <w:rPr>
          <w:noProof/>
          <w:lang w:eastAsia="es-MX"/>
        </w:rPr>
      </w:pPr>
      <w:r w:rsidRPr="00955318">
        <w:rPr>
          <w:rFonts w:ascii="Palatino Linotype" w:hAnsi="Palatino Linotype"/>
        </w:rPr>
        <w:t xml:space="preserve">Ahora bien, por lo que respecta a la solicitud de acceso </w:t>
      </w:r>
      <w:r w:rsidRPr="00955318">
        <w:rPr>
          <w:rFonts w:ascii="Palatino Linotype" w:hAnsi="Palatino Linotype"/>
          <w:b/>
          <w:bCs/>
        </w:rPr>
        <w:t>01686/UPVT/IP/2018</w:t>
      </w:r>
      <w:r w:rsidRPr="00955318">
        <w:rPr>
          <w:rFonts w:ascii="Palatino Linotype" w:hAnsi="Palatino Linotype"/>
          <w:b/>
          <w:lang w:val="es-ES_tradnl"/>
        </w:rPr>
        <w:t xml:space="preserve">, </w:t>
      </w:r>
      <w:r w:rsidRPr="00955318">
        <w:rPr>
          <w:rFonts w:ascii="Palatino Linotype" w:hAnsi="Palatino Linotype"/>
          <w:lang w:val="es-ES_tradnl"/>
        </w:rPr>
        <w:t xml:space="preserve">en la que la particular requirió el Histórico de capacitaciones en materia de transparencia que el personal de la institución ha llevado a cabo con las constancias o evidencias correspondientes, </w:t>
      </w:r>
      <w:r w:rsidRPr="00955318">
        <w:rPr>
          <w:rFonts w:ascii="Palatino Linotype" w:hAnsi="Palatino Linotype"/>
          <w:b/>
          <w:lang w:val="es-ES_tradnl"/>
        </w:rPr>
        <w:t>EL SUJETO OBLIGADO</w:t>
      </w:r>
      <w:r w:rsidRPr="00955318">
        <w:rPr>
          <w:rFonts w:ascii="Palatino Linotype" w:hAnsi="Palatino Linotype"/>
          <w:lang w:val="es-ES_tradnl"/>
        </w:rPr>
        <w:t xml:space="preserve"> mediante respuesta señaló lo siguiente</w:t>
      </w:r>
    </w:p>
    <w:p w:rsidR="00C55AE5" w:rsidRPr="00955318" w:rsidRDefault="006856E7" w:rsidP="000A7BF7">
      <w:pPr>
        <w:spacing w:before="240" w:after="240" w:line="360" w:lineRule="auto"/>
        <w:jc w:val="both"/>
        <w:rPr>
          <w:noProof/>
          <w:lang w:eastAsia="es-MX"/>
        </w:rPr>
      </w:pPr>
      <w:r w:rsidRPr="00955318">
        <w:rPr>
          <w:noProof/>
          <w:lang w:eastAsia="es-MX"/>
        </w:rPr>
        <w:drawing>
          <wp:inline distT="0" distB="0" distL="0" distR="0" wp14:anchorId="7639709D" wp14:editId="14A23957">
            <wp:extent cx="5612130" cy="130082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300825"/>
                    </a:xfrm>
                    <a:prstGeom prst="rect">
                      <a:avLst/>
                    </a:prstGeom>
                  </pic:spPr>
                </pic:pic>
              </a:graphicData>
            </a:graphic>
          </wp:inline>
        </w:drawing>
      </w:r>
    </w:p>
    <w:p w:rsidR="006856E7" w:rsidRPr="00955318" w:rsidRDefault="006856E7" w:rsidP="006856E7">
      <w:pPr>
        <w:pStyle w:val="Prrafodelista"/>
        <w:widowControl w:val="0"/>
        <w:autoSpaceDE w:val="0"/>
        <w:autoSpaceDN w:val="0"/>
        <w:adjustRightInd w:val="0"/>
        <w:spacing w:before="200" w:after="200" w:line="360" w:lineRule="auto"/>
        <w:ind w:left="0"/>
        <w:jc w:val="both"/>
        <w:rPr>
          <w:rFonts w:ascii="Palatino Linotype" w:eastAsia="Calibri" w:hAnsi="Palatino Linotype" w:cs="Arial"/>
          <w:i/>
          <w:sz w:val="22"/>
          <w:szCs w:val="22"/>
        </w:rPr>
      </w:pPr>
      <w:r w:rsidRPr="00955318">
        <w:rPr>
          <w:rFonts w:ascii="Palatino Linotype" w:eastAsia="Calibri" w:hAnsi="Palatino Linotype" w:cs="Arial"/>
        </w:rPr>
        <w:t>Es de esta forma que la particular se inconforma, ya que a su decir en las razones y motivos manifestó “</w:t>
      </w:r>
      <w:r w:rsidRPr="00955318">
        <w:rPr>
          <w:rFonts w:ascii="Palatino Linotype" w:eastAsia="Calibri" w:hAnsi="Palatino Linotype" w:cs="Arial"/>
          <w:i/>
          <w:sz w:val="22"/>
          <w:szCs w:val="22"/>
        </w:rPr>
        <w:t xml:space="preserve">Y las veces que las personas de </w:t>
      </w:r>
      <w:proofErr w:type="spellStart"/>
      <w:r w:rsidRPr="00955318">
        <w:rPr>
          <w:rFonts w:ascii="Palatino Linotype" w:eastAsia="Calibri" w:hAnsi="Palatino Linotype" w:cs="Arial"/>
          <w:i/>
          <w:sz w:val="22"/>
          <w:szCs w:val="22"/>
        </w:rPr>
        <w:t>Infoem</w:t>
      </w:r>
      <w:proofErr w:type="spellEnd"/>
      <w:r w:rsidRPr="00955318">
        <w:rPr>
          <w:rFonts w:ascii="Palatino Linotype" w:eastAsia="Calibri" w:hAnsi="Palatino Linotype" w:cs="Arial"/>
          <w:i/>
          <w:sz w:val="22"/>
          <w:szCs w:val="22"/>
        </w:rPr>
        <w:t xml:space="preserve"> han acudido a la </w:t>
      </w:r>
      <w:proofErr w:type="spellStart"/>
      <w:r w:rsidRPr="00955318">
        <w:rPr>
          <w:rFonts w:ascii="Palatino Linotype" w:eastAsia="Calibri" w:hAnsi="Palatino Linotype" w:cs="Arial"/>
          <w:i/>
          <w:sz w:val="22"/>
          <w:szCs w:val="22"/>
        </w:rPr>
        <w:t>uni</w:t>
      </w:r>
      <w:proofErr w:type="spellEnd"/>
      <w:r w:rsidRPr="00955318">
        <w:rPr>
          <w:rFonts w:ascii="Palatino Linotype" w:eastAsia="Calibri" w:hAnsi="Palatino Linotype" w:cs="Arial"/>
          <w:i/>
          <w:sz w:val="22"/>
          <w:szCs w:val="22"/>
        </w:rPr>
        <w:t xml:space="preserve"> no es capacitación, </w:t>
      </w:r>
      <w:proofErr w:type="spellStart"/>
      <w:r w:rsidRPr="00955318">
        <w:rPr>
          <w:rFonts w:ascii="Palatino Linotype" w:eastAsia="Calibri" w:hAnsi="Palatino Linotype" w:cs="Arial"/>
          <w:i/>
          <w:sz w:val="22"/>
          <w:szCs w:val="22"/>
        </w:rPr>
        <w:t>revisale</w:t>
      </w:r>
      <w:proofErr w:type="spellEnd"/>
      <w:r w:rsidRPr="00955318">
        <w:rPr>
          <w:rFonts w:ascii="Palatino Linotype" w:eastAsia="Calibri" w:hAnsi="Palatino Linotype" w:cs="Arial"/>
          <w:i/>
          <w:sz w:val="22"/>
          <w:szCs w:val="22"/>
        </w:rPr>
        <w:t xml:space="preserve"> Gabriela que esto de la Transparencia no es lo tuyo, </w:t>
      </w:r>
      <w:proofErr w:type="spellStart"/>
      <w:r w:rsidRPr="00955318">
        <w:rPr>
          <w:rFonts w:ascii="Palatino Linotype" w:eastAsia="Calibri" w:hAnsi="Palatino Linotype" w:cs="Arial"/>
          <w:i/>
          <w:sz w:val="22"/>
          <w:szCs w:val="22"/>
        </w:rPr>
        <w:t>capacitate</w:t>
      </w:r>
      <w:proofErr w:type="spellEnd"/>
      <w:r w:rsidRPr="00955318">
        <w:rPr>
          <w:rFonts w:ascii="Palatino Linotype" w:eastAsia="Calibri" w:hAnsi="Palatino Linotype" w:cs="Arial"/>
          <w:i/>
          <w:sz w:val="22"/>
          <w:szCs w:val="22"/>
        </w:rPr>
        <w:t>, yo te digo con quien”.</w:t>
      </w:r>
    </w:p>
    <w:p w:rsidR="006856E7" w:rsidRPr="00955318" w:rsidRDefault="006856E7" w:rsidP="006856E7">
      <w:pPr>
        <w:pStyle w:val="Prrafodelista"/>
        <w:widowControl w:val="0"/>
        <w:autoSpaceDE w:val="0"/>
        <w:autoSpaceDN w:val="0"/>
        <w:adjustRightInd w:val="0"/>
        <w:spacing w:before="200" w:after="200" w:line="360" w:lineRule="auto"/>
        <w:ind w:left="0"/>
        <w:jc w:val="both"/>
        <w:rPr>
          <w:rFonts w:ascii="Palatino Linotype" w:eastAsia="Calibri" w:hAnsi="Palatino Linotype" w:cs="Arial"/>
        </w:rPr>
      </w:pPr>
    </w:p>
    <w:p w:rsidR="006856E7" w:rsidRPr="00955318" w:rsidRDefault="006856E7" w:rsidP="006856E7">
      <w:pPr>
        <w:pStyle w:val="Prrafodelista"/>
        <w:widowControl w:val="0"/>
        <w:autoSpaceDE w:val="0"/>
        <w:autoSpaceDN w:val="0"/>
        <w:adjustRightInd w:val="0"/>
        <w:spacing w:before="200" w:after="200" w:line="360" w:lineRule="auto"/>
        <w:ind w:left="0"/>
        <w:jc w:val="both"/>
        <w:rPr>
          <w:rFonts w:ascii="Palatino Linotype" w:eastAsia="Calibri" w:hAnsi="Palatino Linotype" w:cs="Arial"/>
        </w:rPr>
      </w:pPr>
      <w:r w:rsidRPr="00955318">
        <w:rPr>
          <w:rFonts w:ascii="Palatino Linotype" w:eastAsia="Calibri" w:hAnsi="Palatino Linotype" w:cs="Arial"/>
        </w:rPr>
        <w:t xml:space="preserve">De lo anterior, en Informe Justificado, que </w:t>
      </w:r>
      <w:r w:rsidRPr="00955318">
        <w:rPr>
          <w:rFonts w:ascii="Palatino Linotype" w:eastAsia="Calibri" w:hAnsi="Palatino Linotype" w:cs="Arial"/>
          <w:b/>
        </w:rPr>
        <w:t>EL SUJETO OBLIGADO</w:t>
      </w:r>
      <w:r w:rsidRPr="00955318">
        <w:rPr>
          <w:rFonts w:ascii="Palatino Linotype" w:eastAsia="Calibri" w:hAnsi="Palatino Linotype" w:cs="Arial"/>
        </w:rPr>
        <w:t xml:space="preserve"> ratificó la respuesta dada a la solicitud de acceso a la información pública, señalando que no cuenta con la información, ya que no la genera, posee o administra del periodo del 5 de diciembre de 2017 al 5 de diciembre de 2018.</w:t>
      </w:r>
    </w:p>
    <w:p w:rsidR="006856E7" w:rsidRPr="00955318" w:rsidRDefault="006856E7" w:rsidP="006856E7">
      <w:pPr>
        <w:pStyle w:val="Prrafodelista"/>
        <w:widowControl w:val="0"/>
        <w:autoSpaceDE w:val="0"/>
        <w:autoSpaceDN w:val="0"/>
        <w:adjustRightInd w:val="0"/>
        <w:spacing w:before="200" w:after="200" w:line="360" w:lineRule="auto"/>
        <w:ind w:left="0"/>
        <w:jc w:val="both"/>
        <w:rPr>
          <w:rFonts w:ascii="Palatino Linotype" w:eastAsia="Calibri" w:hAnsi="Palatino Linotype" w:cs="Arial"/>
        </w:rPr>
      </w:pPr>
    </w:p>
    <w:p w:rsidR="006856E7" w:rsidRPr="00955318" w:rsidRDefault="006856E7" w:rsidP="006856E7">
      <w:pPr>
        <w:pStyle w:val="Prrafodelista"/>
        <w:widowControl w:val="0"/>
        <w:autoSpaceDE w:val="0"/>
        <w:autoSpaceDN w:val="0"/>
        <w:adjustRightInd w:val="0"/>
        <w:spacing w:before="200" w:after="200" w:line="360" w:lineRule="auto"/>
        <w:ind w:left="0"/>
        <w:jc w:val="both"/>
        <w:rPr>
          <w:rFonts w:ascii="Palatino Linotype" w:eastAsia="Calibri" w:hAnsi="Palatino Linotype" w:cs="Arial"/>
        </w:rPr>
      </w:pPr>
      <w:r w:rsidRPr="00955318">
        <w:rPr>
          <w:rFonts w:ascii="Palatino Linotype" w:eastAsia="Calibri" w:hAnsi="Palatino Linotype" w:cs="Arial"/>
        </w:rPr>
        <w:t xml:space="preserve">Es, mediante alcance al Informe Justificado, que </w:t>
      </w:r>
      <w:r w:rsidRPr="00955318">
        <w:rPr>
          <w:rFonts w:ascii="Palatino Linotype" w:eastAsia="Calibri" w:hAnsi="Palatino Linotype" w:cs="Arial"/>
          <w:b/>
        </w:rPr>
        <w:t>EL SUJETO OBLIGADO</w:t>
      </w:r>
      <w:r w:rsidRPr="00955318">
        <w:rPr>
          <w:rFonts w:ascii="Palatino Linotype" w:eastAsia="Calibri" w:hAnsi="Palatino Linotype" w:cs="Arial"/>
        </w:rPr>
        <w:t xml:space="preserve"> le manifestó a la particular que desde la creación de la Universidad hasta la fecha de la solicitud que no hay evidencia de capacitación de los servidores públicos de la institución en materia de transparencia.</w:t>
      </w:r>
    </w:p>
    <w:p w:rsidR="00C55AE5" w:rsidRPr="00955318" w:rsidRDefault="00955318" w:rsidP="000A7BF7">
      <w:pPr>
        <w:spacing w:before="240" w:after="240" w:line="360" w:lineRule="auto"/>
        <w:jc w:val="both"/>
        <w:rPr>
          <w:rFonts w:ascii="Palatino Linotype" w:hAnsi="Palatino Linotype"/>
          <w:sz w:val="24"/>
          <w:szCs w:val="24"/>
        </w:rPr>
      </w:pPr>
      <w:r w:rsidRPr="00955318">
        <w:rPr>
          <w:rFonts w:ascii="Palatino Linotype" w:hAnsi="Palatino Linotype"/>
        </w:rPr>
        <w:lastRenderedPageBreak/>
        <w:t xml:space="preserve">Lo anterior, en atención a que </w:t>
      </w:r>
      <w:r w:rsidRPr="00955318">
        <w:rPr>
          <w:rFonts w:ascii="Palatino Linotype" w:hAnsi="Palatino Linotype"/>
          <w:b/>
        </w:rPr>
        <w:t>EL SUJETO OBLIGADO</w:t>
      </w:r>
      <w:r w:rsidRPr="00955318">
        <w:rPr>
          <w:rFonts w:ascii="Palatino Linotype" w:hAnsi="Palatino Linotype"/>
        </w:rPr>
        <w:t xml:space="preserve"> refiere en alcance al Informe Justificado que no cuenta con la evidencia de la capacitación de servidores públicos en materia de transparencia que la Ley de la materia no lo contempla como obligación de los servidores públicos,</w:t>
      </w:r>
      <w:r w:rsidRPr="00955318">
        <w:rPr>
          <w:rFonts w:ascii="Palatino Linotype" w:hAnsi="Palatino Linotype" w:cs="Arial"/>
        </w:rPr>
        <w:t xml:space="preserve"> lo cual constituye un hecho negativo</w:t>
      </w:r>
    </w:p>
    <w:p w:rsidR="009C42ED" w:rsidRPr="00955318" w:rsidRDefault="00955318" w:rsidP="009C42ED">
      <w:pPr>
        <w:spacing w:before="240" w:after="240" w:line="360" w:lineRule="auto"/>
        <w:jc w:val="both"/>
        <w:rPr>
          <w:rFonts w:ascii="Palatino Linotype" w:hAnsi="Palatino Linotype" w:cs="Arial"/>
          <w:sz w:val="24"/>
          <w:szCs w:val="24"/>
        </w:rPr>
      </w:pPr>
      <w:r w:rsidRPr="00955318">
        <w:rPr>
          <w:rFonts w:ascii="Palatino Linotype" w:hAnsi="Palatino Linotype"/>
          <w:sz w:val="24"/>
          <w:szCs w:val="24"/>
        </w:rPr>
        <w:t xml:space="preserve">Una vez agotado lo anterior, </w:t>
      </w:r>
      <w:r w:rsidRPr="00955318">
        <w:rPr>
          <w:rFonts w:ascii="Palatino Linotype" w:hAnsi="Palatino Linotype" w:cs="Arial"/>
          <w:sz w:val="24"/>
          <w:szCs w:val="24"/>
        </w:rPr>
        <w:t>s</w:t>
      </w:r>
      <w:r w:rsidR="0055120A" w:rsidRPr="00955318">
        <w:rPr>
          <w:rFonts w:ascii="Palatino Linotype" w:hAnsi="Palatino Linotype" w:cs="Arial"/>
          <w:sz w:val="24"/>
          <w:szCs w:val="24"/>
        </w:rPr>
        <w:t>e</w:t>
      </w:r>
      <w:r w:rsidR="009C42ED" w:rsidRPr="00955318">
        <w:rPr>
          <w:rFonts w:ascii="Palatino Linotype" w:hAnsi="Palatino Linotype" w:cs="Arial"/>
          <w:sz w:val="24"/>
          <w:szCs w:val="24"/>
        </w:rPr>
        <w:t xml:space="preserve"> coincide en su mayoría con los argumentos vertidos por la ponencia al momento de resolver el presente medio de impugnación. Sin embargo, he decidido realizar el presente voto particular, para exponer la siguiente </w:t>
      </w:r>
      <w:r w:rsidR="0055120A" w:rsidRPr="00955318">
        <w:rPr>
          <w:rFonts w:ascii="Palatino Linotype" w:hAnsi="Palatino Linotype" w:cs="Arial"/>
          <w:sz w:val="24"/>
          <w:szCs w:val="24"/>
        </w:rPr>
        <w:t>razón</w:t>
      </w:r>
      <w:r w:rsidR="009C42ED" w:rsidRPr="00955318">
        <w:rPr>
          <w:rFonts w:ascii="Palatino Linotype" w:hAnsi="Palatino Linotype" w:cs="Arial"/>
          <w:sz w:val="24"/>
          <w:szCs w:val="24"/>
        </w:rPr>
        <w:t xml:space="preserve"> que me separan de estar de acuerdo en su totalidad con lo resuelto.</w:t>
      </w:r>
    </w:p>
    <w:p w:rsidR="009C42ED" w:rsidRPr="00955318" w:rsidRDefault="009C42ED" w:rsidP="009C42ED">
      <w:pPr>
        <w:spacing w:before="240" w:after="240" w:line="360" w:lineRule="auto"/>
        <w:jc w:val="both"/>
        <w:rPr>
          <w:rFonts w:ascii="Palatino Linotype" w:hAnsi="Palatino Linotype" w:cs="Arial"/>
          <w:sz w:val="24"/>
          <w:szCs w:val="24"/>
        </w:rPr>
      </w:pPr>
      <w:r w:rsidRPr="00955318">
        <w:rPr>
          <w:rFonts w:ascii="Palatino Linotype" w:hAnsi="Palatino Linotype" w:cs="Arial"/>
          <w:sz w:val="24"/>
          <w:szCs w:val="24"/>
        </w:rPr>
        <w:t>Al respecto, se debe partir recordando que todo proceso está constituido</w:t>
      </w:r>
      <w:r w:rsidR="0055120A" w:rsidRPr="00955318">
        <w:rPr>
          <w:rFonts w:ascii="Palatino Linotype" w:hAnsi="Palatino Linotype" w:cs="Arial"/>
          <w:sz w:val="24"/>
          <w:szCs w:val="24"/>
        </w:rPr>
        <w:t xml:space="preserve">: </w:t>
      </w:r>
      <w:r w:rsidRPr="00955318">
        <w:rPr>
          <w:rFonts w:ascii="Palatino Linotype" w:hAnsi="Palatino Linotype" w:cs="Arial"/>
          <w:sz w:val="24"/>
          <w:szCs w:val="24"/>
        </w:rPr>
        <w:t>por la existencia y subsistencia de un litigio entre partes, que en l</w:t>
      </w:r>
      <w:r w:rsidR="0055120A" w:rsidRPr="00955318">
        <w:rPr>
          <w:rFonts w:ascii="Palatino Linotype" w:hAnsi="Palatino Linotype" w:cs="Arial"/>
          <w:sz w:val="24"/>
          <w:szCs w:val="24"/>
        </w:rPr>
        <w:t>a definición de Carnelutti "…</w:t>
      </w:r>
      <w:r w:rsidRPr="00955318">
        <w:rPr>
          <w:rFonts w:ascii="Palatino Linotype" w:hAnsi="Palatino Linotype" w:cs="Arial"/>
          <w:sz w:val="24"/>
          <w:szCs w:val="24"/>
        </w:rPr>
        <w:t xml:space="preserve">es el conflicto de intereses calificado por la pretensión de uno de los interesados y la resistencia del otro, toda vez que esta oposición de intereses es lo que constituye la materia del </w:t>
      </w:r>
      <w:r w:rsidR="0055120A" w:rsidRPr="00955318">
        <w:rPr>
          <w:rFonts w:ascii="Palatino Linotype" w:hAnsi="Palatino Linotype" w:cs="Arial"/>
          <w:sz w:val="24"/>
          <w:szCs w:val="24"/>
        </w:rPr>
        <w:t>proceso..."</w:t>
      </w:r>
    </w:p>
    <w:p w:rsidR="0055120A" w:rsidRPr="00955318" w:rsidRDefault="0055120A" w:rsidP="0055120A">
      <w:pPr>
        <w:spacing w:before="240" w:after="240" w:line="360" w:lineRule="auto"/>
        <w:jc w:val="both"/>
        <w:rPr>
          <w:rFonts w:ascii="Palatino Linotype" w:hAnsi="Palatino Linotype" w:cs="Arial"/>
          <w:sz w:val="24"/>
          <w:szCs w:val="24"/>
        </w:rPr>
      </w:pPr>
      <w:r w:rsidRPr="00955318">
        <w:rPr>
          <w:rFonts w:ascii="Palatino Linotype" w:hAnsi="Palatino Linotype" w:cs="Arial"/>
          <w:sz w:val="24"/>
          <w:szCs w:val="24"/>
        </w:rPr>
        <w:t xml:space="preserve">En ese orden de ideas la causa que me aparta de contenido a plenitud de la resolución que se dictó, es en torno a una posible vulneración del derecho del particular, que siendo parte del procedimiento, al no haberse hecho de su conocimiento la información enviada </w:t>
      </w:r>
      <w:r w:rsidR="00955318" w:rsidRPr="00955318">
        <w:rPr>
          <w:rFonts w:ascii="Palatino Linotype" w:hAnsi="Palatino Linotype" w:cs="Arial"/>
          <w:sz w:val="24"/>
          <w:szCs w:val="24"/>
        </w:rPr>
        <w:t>que deja sin materia la pretensión del particular</w:t>
      </w:r>
      <w:r w:rsidRPr="00955318">
        <w:rPr>
          <w:rFonts w:ascii="Palatino Linotype" w:hAnsi="Palatino Linotype" w:cs="Arial"/>
          <w:sz w:val="24"/>
          <w:szCs w:val="24"/>
        </w:rPr>
        <w:t>,</w:t>
      </w:r>
      <w:r w:rsidR="00480C6D" w:rsidRPr="00955318">
        <w:rPr>
          <w:rFonts w:ascii="Palatino Linotype" w:hAnsi="Palatino Linotype" w:cs="Arial"/>
          <w:sz w:val="24"/>
          <w:szCs w:val="24"/>
        </w:rPr>
        <w:t xml:space="preserve"> la cual fue tomada en cuenta por la ponencia </w:t>
      </w:r>
      <w:proofErr w:type="spellStart"/>
      <w:r w:rsidR="00480C6D" w:rsidRPr="00955318">
        <w:rPr>
          <w:rFonts w:ascii="Palatino Linotype" w:hAnsi="Palatino Linotype" w:cs="Arial"/>
          <w:sz w:val="24"/>
          <w:szCs w:val="24"/>
        </w:rPr>
        <w:t>resolutora</w:t>
      </w:r>
      <w:proofErr w:type="spellEnd"/>
      <w:r w:rsidR="00480C6D" w:rsidRPr="00955318">
        <w:rPr>
          <w:rFonts w:ascii="Palatino Linotype" w:hAnsi="Palatino Linotype" w:cs="Arial"/>
          <w:sz w:val="24"/>
          <w:szCs w:val="24"/>
        </w:rPr>
        <w:t>,</w:t>
      </w:r>
      <w:r w:rsidRPr="00955318">
        <w:rPr>
          <w:rFonts w:ascii="Palatino Linotype" w:hAnsi="Palatino Linotype" w:cs="Arial"/>
          <w:sz w:val="24"/>
          <w:szCs w:val="24"/>
        </w:rPr>
        <w:t xml:space="preserve"> se vulnera en su perjuicio el principio de seguridad jurídica.</w:t>
      </w:r>
      <w:r w:rsidRPr="00955318">
        <w:rPr>
          <w:rStyle w:val="Refdenotaalpie"/>
          <w:rFonts w:ascii="Palatino Linotype" w:hAnsi="Palatino Linotype" w:cs="Arial"/>
          <w:sz w:val="24"/>
          <w:szCs w:val="24"/>
        </w:rPr>
        <w:footnoteReference w:id="1"/>
      </w:r>
    </w:p>
    <w:p w:rsidR="0055120A" w:rsidRPr="00955318" w:rsidRDefault="0055120A" w:rsidP="0055120A">
      <w:pPr>
        <w:spacing w:before="240" w:after="240" w:line="360" w:lineRule="auto"/>
        <w:jc w:val="both"/>
        <w:rPr>
          <w:rFonts w:ascii="Palatino Linotype" w:hAnsi="Palatino Linotype" w:cs="Arial"/>
          <w:sz w:val="24"/>
          <w:szCs w:val="24"/>
        </w:rPr>
      </w:pPr>
      <w:r w:rsidRPr="00955318">
        <w:rPr>
          <w:rFonts w:ascii="Palatino Linotype" w:hAnsi="Palatino Linotype" w:cs="Arial"/>
          <w:sz w:val="24"/>
          <w:szCs w:val="24"/>
        </w:rPr>
        <w:lastRenderedPageBreak/>
        <w:t>Lo anterior es así pues el principio de seguridad jurídica supone la expectativa razonablemente fundada del ciudadano en cuál ha de ser la actuación del poder  en aplicación del derecho.</w:t>
      </w:r>
      <w:r w:rsidRPr="00955318">
        <w:rPr>
          <w:rStyle w:val="Refdenotaalpie"/>
          <w:rFonts w:ascii="Palatino Linotype" w:hAnsi="Palatino Linotype" w:cs="Arial"/>
          <w:sz w:val="24"/>
          <w:szCs w:val="24"/>
        </w:rPr>
        <w:footnoteReference w:id="2"/>
      </w:r>
    </w:p>
    <w:p w:rsidR="0055120A" w:rsidRPr="00955318" w:rsidRDefault="0055120A" w:rsidP="0055120A">
      <w:pPr>
        <w:spacing w:before="240" w:after="240" w:line="360" w:lineRule="auto"/>
        <w:jc w:val="both"/>
        <w:rPr>
          <w:rFonts w:ascii="Palatino Linotype" w:hAnsi="Palatino Linotype" w:cs="Arial"/>
          <w:sz w:val="24"/>
          <w:szCs w:val="24"/>
        </w:rPr>
      </w:pPr>
      <w:r w:rsidRPr="00955318">
        <w:rPr>
          <w:rFonts w:ascii="Palatino Linotype" w:hAnsi="Palatino Linotype" w:cs="Arial"/>
          <w:sz w:val="24"/>
          <w:szCs w:val="24"/>
        </w:rPr>
        <w:t xml:space="preserve">Al respecto, la Suprema Corte de justicia de la Nación en la Tesis de jurisprudencia 144/2006. Aprobada por la Segunda Sala, en sesión privada del veintinueve de septiembre de dos mil seis, ha señalado que la garantía de Seguridad Jurídica, prevista en el artículo 16 de la </w:t>
      </w:r>
      <w:r w:rsidR="005857E0" w:rsidRPr="00955318">
        <w:rPr>
          <w:rFonts w:ascii="Palatino Linotype" w:hAnsi="Palatino Linotype" w:cs="Arial"/>
          <w:sz w:val="24"/>
          <w:szCs w:val="24"/>
        </w:rPr>
        <w:t>Constitución Política de los Estados Unidos Mexicanos debe contener</w:t>
      </w:r>
      <w:r w:rsidRPr="00955318">
        <w:rPr>
          <w:rFonts w:ascii="Palatino Linotype" w:hAnsi="Palatino Linotype" w:cs="Arial"/>
          <w:sz w:val="24"/>
          <w:szCs w:val="24"/>
        </w:rPr>
        <w:t xml:space="preserve"> los</w:t>
      </w:r>
      <w:r w:rsidR="005857E0" w:rsidRPr="00955318">
        <w:rPr>
          <w:rFonts w:ascii="Palatino Linotype" w:hAnsi="Palatino Linotype" w:cs="Arial"/>
          <w:sz w:val="24"/>
          <w:szCs w:val="24"/>
        </w:rPr>
        <w:t xml:space="preserve"> elementos mínimos para hacer valer el derecho del gobernado</w:t>
      </w:r>
      <w:r w:rsidRPr="00955318">
        <w:rPr>
          <w:rFonts w:ascii="Palatino Linotype" w:hAnsi="Palatino Linotype" w:cs="Arial"/>
          <w:sz w:val="24"/>
          <w:szCs w:val="24"/>
        </w:rPr>
        <w:t xml:space="preserve"> </w:t>
      </w:r>
      <w:r w:rsidR="005857E0" w:rsidRPr="00955318">
        <w:rPr>
          <w:rFonts w:ascii="Palatino Linotype" w:hAnsi="Palatino Linotype" w:cs="Arial"/>
          <w:sz w:val="24"/>
          <w:szCs w:val="24"/>
        </w:rPr>
        <w:t>y para</w:t>
      </w:r>
      <w:r w:rsidRPr="00955318">
        <w:rPr>
          <w:rFonts w:ascii="Palatino Linotype" w:hAnsi="Palatino Linotype" w:cs="Arial"/>
          <w:sz w:val="24"/>
          <w:szCs w:val="24"/>
        </w:rPr>
        <w:t xml:space="preserve"> que, sobre este aspecto, la autoridad no incurra en arbitrariedades.</w:t>
      </w:r>
    </w:p>
    <w:p w:rsidR="005857E0" w:rsidRPr="00955318" w:rsidRDefault="005857E0" w:rsidP="005857E0">
      <w:pPr>
        <w:spacing w:before="240" w:after="240" w:line="360" w:lineRule="auto"/>
        <w:jc w:val="both"/>
        <w:rPr>
          <w:rFonts w:ascii="Palatino Linotype" w:hAnsi="Palatino Linotype" w:cs="Arial"/>
          <w:sz w:val="24"/>
          <w:szCs w:val="24"/>
        </w:rPr>
      </w:pPr>
      <w:r w:rsidRPr="00955318">
        <w:rPr>
          <w:rFonts w:ascii="Palatino Linotype" w:hAnsi="Palatino Linotype" w:cs="Arial"/>
          <w:sz w:val="24"/>
          <w:szCs w:val="24"/>
        </w:rPr>
        <w:t xml:space="preserve">Por lo tanto, dicha garantía no se debe entender como una simple comunicación a la parte afectada para que tenga conocimiento de un acto que lo puede perjudicar, sino que es necesario darle a conocer el acto de forma completa, clara y abierta, esto es, dar la oportunidad de controvertir las actuaciones que de forma tajante </w:t>
      </w:r>
      <w:r w:rsidR="00480C6D" w:rsidRPr="00955318">
        <w:rPr>
          <w:rFonts w:ascii="Palatino Linotype" w:hAnsi="Palatino Linotype" w:cs="Arial"/>
          <w:sz w:val="24"/>
          <w:szCs w:val="24"/>
        </w:rPr>
        <w:t>colman la pretensión del particular</w:t>
      </w:r>
      <w:r w:rsidRPr="00955318">
        <w:rPr>
          <w:rFonts w:ascii="Palatino Linotype" w:hAnsi="Palatino Linotype" w:cs="Arial"/>
          <w:sz w:val="24"/>
          <w:szCs w:val="24"/>
        </w:rPr>
        <w:t>, asimismo, en saber a qué atenerse, con tal grado de certidumbre que no quede en estado de indefensión.</w:t>
      </w:r>
    </w:p>
    <w:p w:rsidR="005857E0" w:rsidRPr="00955318" w:rsidRDefault="005857E0" w:rsidP="005857E0">
      <w:pPr>
        <w:spacing w:before="240" w:after="240" w:line="360" w:lineRule="auto"/>
        <w:jc w:val="both"/>
        <w:rPr>
          <w:rFonts w:ascii="Palatino Linotype" w:hAnsi="Palatino Linotype" w:cs="Arial"/>
          <w:sz w:val="24"/>
          <w:szCs w:val="24"/>
        </w:rPr>
      </w:pPr>
      <w:r w:rsidRPr="00955318">
        <w:rPr>
          <w:rFonts w:ascii="Palatino Linotype" w:hAnsi="Palatino Linotype" w:cs="Arial"/>
          <w:sz w:val="24"/>
          <w:szCs w:val="24"/>
        </w:rPr>
        <w:t>En este sentido cabe puntualizar, que el conocimiento completo del acto que podría contener una violación de derechos humanos, es esencial para respetar el derecho a la seguridad jurídica del afectado.</w:t>
      </w:r>
    </w:p>
    <w:p w:rsidR="005857E0" w:rsidRPr="00955318" w:rsidRDefault="005857E0" w:rsidP="005857E0">
      <w:pPr>
        <w:spacing w:before="240" w:after="240" w:line="360" w:lineRule="auto"/>
        <w:jc w:val="both"/>
        <w:rPr>
          <w:rFonts w:ascii="Palatino Linotype" w:hAnsi="Palatino Linotype" w:cs="Arial"/>
          <w:sz w:val="24"/>
          <w:szCs w:val="24"/>
        </w:rPr>
      </w:pPr>
      <w:r w:rsidRPr="00955318">
        <w:rPr>
          <w:rFonts w:ascii="Palatino Linotype" w:hAnsi="Palatino Linotype" w:cs="Arial"/>
          <w:sz w:val="24"/>
          <w:szCs w:val="24"/>
        </w:rPr>
        <w:lastRenderedPageBreak/>
        <w:t>Es por eso que en nuestro derecho, se establece la figura de la notificación, que es un acto revestido de formalidades, que tienen por objeto, principalmente, el seguimiento obligatorio de un protocolo que el legislador ha considerado suficiente para presumir con alta probabilidad, que el destinatario ha tenido conocimiento completo del acto a notificar.</w:t>
      </w:r>
    </w:p>
    <w:p w:rsidR="005857E0" w:rsidRPr="00955318" w:rsidRDefault="005857E0" w:rsidP="005857E0">
      <w:pPr>
        <w:spacing w:before="240" w:after="240" w:line="360" w:lineRule="auto"/>
        <w:jc w:val="both"/>
        <w:rPr>
          <w:rFonts w:ascii="Palatino Linotype" w:hAnsi="Palatino Linotype" w:cs="Arial"/>
          <w:sz w:val="24"/>
          <w:szCs w:val="24"/>
        </w:rPr>
      </w:pPr>
      <w:r w:rsidRPr="00955318">
        <w:rPr>
          <w:rFonts w:ascii="Palatino Linotype" w:hAnsi="Palatino Linotype" w:cs="Arial"/>
          <w:sz w:val="24"/>
          <w:szCs w:val="24"/>
        </w:rPr>
        <w:t>Por lo que considero que</w:t>
      </w:r>
      <w:r w:rsidR="00955318" w:rsidRPr="00955318">
        <w:rPr>
          <w:rFonts w:ascii="Palatino Linotype" w:hAnsi="Palatino Linotype" w:cs="Arial"/>
          <w:sz w:val="24"/>
          <w:szCs w:val="24"/>
        </w:rPr>
        <w:t xml:space="preserve"> el elemento novedoso</w:t>
      </w:r>
      <w:r w:rsidR="00480C6D" w:rsidRPr="00955318">
        <w:rPr>
          <w:rFonts w:ascii="Palatino Linotype" w:hAnsi="Palatino Linotype" w:cs="Arial"/>
          <w:sz w:val="24"/>
          <w:szCs w:val="24"/>
        </w:rPr>
        <w:t xml:space="preserve">, se debió </w:t>
      </w:r>
      <w:r w:rsidR="006F560D" w:rsidRPr="00955318">
        <w:rPr>
          <w:rFonts w:ascii="Palatino Linotype" w:hAnsi="Palatino Linotype" w:cs="Arial"/>
          <w:sz w:val="24"/>
          <w:szCs w:val="24"/>
        </w:rPr>
        <w:t xml:space="preserve">notificar </w:t>
      </w:r>
      <w:r w:rsidR="00480C6D" w:rsidRPr="00955318">
        <w:rPr>
          <w:rFonts w:ascii="Palatino Linotype" w:hAnsi="Palatino Linotype" w:cs="Arial"/>
          <w:sz w:val="24"/>
          <w:szCs w:val="24"/>
        </w:rPr>
        <w:t xml:space="preserve">por parte de la ponencia </w:t>
      </w:r>
      <w:proofErr w:type="spellStart"/>
      <w:r w:rsidR="00480C6D" w:rsidRPr="00955318">
        <w:rPr>
          <w:rFonts w:ascii="Palatino Linotype" w:hAnsi="Palatino Linotype" w:cs="Arial"/>
          <w:sz w:val="24"/>
          <w:szCs w:val="24"/>
        </w:rPr>
        <w:t>resolutora</w:t>
      </w:r>
      <w:proofErr w:type="spellEnd"/>
      <w:r w:rsidR="006F560D" w:rsidRPr="00955318">
        <w:rPr>
          <w:rFonts w:ascii="Palatino Linotype" w:hAnsi="Palatino Linotype" w:cs="Arial"/>
          <w:sz w:val="24"/>
          <w:szCs w:val="24"/>
        </w:rPr>
        <w:t xml:space="preserve"> </w:t>
      </w:r>
      <w:r w:rsidRPr="00955318">
        <w:rPr>
          <w:rFonts w:ascii="Palatino Linotype" w:hAnsi="Palatino Linotype" w:cs="Arial"/>
          <w:sz w:val="24"/>
          <w:szCs w:val="24"/>
        </w:rPr>
        <w:t>al no ser dada a</w:t>
      </w:r>
      <w:r w:rsidR="00EB0884" w:rsidRPr="00955318">
        <w:rPr>
          <w:rFonts w:ascii="Palatino Linotype" w:hAnsi="Palatino Linotype" w:cs="Arial"/>
          <w:sz w:val="24"/>
          <w:szCs w:val="24"/>
        </w:rPr>
        <w:t xml:space="preserve"> con</w:t>
      </w:r>
      <w:r w:rsidR="006F560D" w:rsidRPr="00955318">
        <w:rPr>
          <w:rFonts w:ascii="Palatino Linotype" w:hAnsi="Palatino Linotype" w:cs="Arial"/>
          <w:sz w:val="24"/>
          <w:szCs w:val="24"/>
        </w:rPr>
        <w:t>ocer al particular la información</w:t>
      </w:r>
      <w:r w:rsidR="00EB0884" w:rsidRPr="00955318">
        <w:rPr>
          <w:rFonts w:ascii="Palatino Linotype" w:hAnsi="Palatino Linotype" w:cs="Arial"/>
          <w:sz w:val="24"/>
          <w:szCs w:val="24"/>
        </w:rPr>
        <w:t xml:space="preserve"> que fue tomada</w:t>
      </w:r>
      <w:r w:rsidRPr="00955318">
        <w:rPr>
          <w:rFonts w:ascii="Palatino Linotype" w:hAnsi="Palatino Linotype" w:cs="Arial"/>
          <w:sz w:val="24"/>
          <w:szCs w:val="24"/>
        </w:rPr>
        <w:t xml:space="preserve"> en consideración, sostengo que transgrede el principio de seguridad jurídica, toda vez que en su contenido no se encuentran los elementos mínimos para que el gobernado pueda hacer valer sus derechos, lo que implica que se deje abierta la posibilidad de </w:t>
      </w:r>
      <w:r w:rsidR="00DE6C84" w:rsidRPr="00955318">
        <w:rPr>
          <w:rFonts w:ascii="Palatino Linotype" w:hAnsi="Palatino Linotype" w:cs="Arial"/>
          <w:sz w:val="24"/>
          <w:szCs w:val="24"/>
        </w:rPr>
        <w:t>que las autoridades incurran en</w:t>
      </w:r>
      <w:r w:rsidRPr="00955318">
        <w:rPr>
          <w:rFonts w:ascii="Palatino Linotype" w:hAnsi="Palatino Linotype" w:cs="Arial"/>
          <w:sz w:val="24"/>
          <w:szCs w:val="24"/>
        </w:rPr>
        <w:t xml:space="preserve"> arbitrariedades.</w:t>
      </w:r>
    </w:p>
    <w:p w:rsidR="009C42ED" w:rsidRPr="00955318" w:rsidRDefault="005857E0" w:rsidP="000A7BF7">
      <w:pPr>
        <w:spacing w:before="240" w:after="240" w:line="360" w:lineRule="auto"/>
        <w:jc w:val="both"/>
        <w:rPr>
          <w:rFonts w:ascii="Palatino Linotype" w:hAnsi="Palatino Linotype" w:cs="Arial"/>
          <w:sz w:val="24"/>
          <w:szCs w:val="24"/>
        </w:rPr>
      </w:pPr>
      <w:r w:rsidRPr="00955318">
        <w:rPr>
          <w:rFonts w:ascii="Palatino Linotype" w:hAnsi="Palatino Linotype" w:cs="Arial"/>
          <w:sz w:val="24"/>
          <w:szCs w:val="24"/>
        </w:rPr>
        <w:t>En este sentido, se debió garantizar su</w:t>
      </w:r>
      <w:r w:rsidR="00EB0884" w:rsidRPr="00955318">
        <w:rPr>
          <w:rFonts w:ascii="Palatino Linotype" w:hAnsi="Palatino Linotype" w:cs="Arial"/>
          <w:sz w:val="24"/>
          <w:szCs w:val="24"/>
        </w:rPr>
        <w:t>s</w:t>
      </w:r>
      <w:r w:rsidRPr="00955318">
        <w:rPr>
          <w:rFonts w:ascii="Palatino Linotype" w:hAnsi="Palatino Linotype" w:cs="Arial"/>
          <w:sz w:val="24"/>
          <w:szCs w:val="24"/>
        </w:rPr>
        <w:t xml:space="preserve"> derechos del particular para conocer y manifestar su defensa respecto de los alcances </w:t>
      </w:r>
      <w:r w:rsidR="006F560D" w:rsidRPr="00955318">
        <w:rPr>
          <w:rFonts w:ascii="Palatino Linotype" w:hAnsi="Palatino Linotype" w:cs="Arial"/>
          <w:sz w:val="24"/>
          <w:szCs w:val="24"/>
        </w:rPr>
        <w:t>de la información proporcionada</w:t>
      </w:r>
      <w:r w:rsidRPr="00955318">
        <w:rPr>
          <w:rFonts w:ascii="Palatino Linotype" w:hAnsi="Palatino Linotype" w:cs="Arial"/>
          <w:sz w:val="24"/>
          <w:szCs w:val="24"/>
        </w:rPr>
        <w:t xml:space="preserve">, pues como autoridad, el ordenar "dar vista" de </w:t>
      </w:r>
      <w:r w:rsidR="006F560D" w:rsidRPr="00955318">
        <w:rPr>
          <w:rFonts w:ascii="Palatino Linotype" w:hAnsi="Palatino Linotype" w:cs="Arial"/>
          <w:sz w:val="24"/>
          <w:szCs w:val="24"/>
        </w:rPr>
        <w:t>la información aportada</w:t>
      </w:r>
      <w:r w:rsidRPr="00955318">
        <w:rPr>
          <w:rFonts w:ascii="Palatino Linotype" w:hAnsi="Palatino Linotype" w:cs="Arial"/>
          <w:sz w:val="24"/>
          <w:szCs w:val="24"/>
        </w:rPr>
        <w:t>, era suficiente para estimar que podía ejercer sus derechos y así están en oportunidad se ser escuchado.</w:t>
      </w:r>
    </w:p>
    <w:p w:rsidR="000A7BF7" w:rsidRPr="00955318" w:rsidRDefault="001B15D3" w:rsidP="000A7BF7">
      <w:pPr>
        <w:spacing w:before="240" w:after="240" w:line="360" w:lineRule="auto"/>
        <w:jc w:val="both"/>
        <w:rPr>
          <w:rFonts w:ascii="Palatino Linotype" w:hAnsi="Palatino Linotype" w:cs="Arial"/>
          <w:sz w:val="24"/>
          <w:szCs w:val="24"/>
        </w:rPr>
      </w:pPr>
      <w:r w:rsidRPr="00955318">
        <w:rPr>
          <w:rFonts w:ascii="Palatino Linotype" w:hAnsi="Palatino Linotype" w:cs="Arial"/>
          <w:sz w:val="24"/>
          <w:szCs w:val="24"/>
        </w:rPr>
        <w:t>En tal sentido</w:t>
      </w:r>
      <w:r w:rsidR="00441FCA" w:rsidRPr="00955318">
        <w:rPr>
          <w:rFonts w:ascii="Palatino Linotype" w:hAnsi="Palatino Linotype" w:cs="Arial"/>
          <w:sz w:val="24"/>
          <w:szCs w:val="24"/>
        </w:rPr>
        <w:t>,</w:t>
      </w:r>
      <w:r w:rsidRPr="00955318">
        <w:rPr>
          <w:rFonts w:ascii="Palatino Linotype" w:hAnsi="Palatino Linotype" w:cs="Arial"/>
          <w:sz w:val="24"/>
          <w:szCs w:val="24"/>
        </w:rPr>
        <w:t xml:space="preserve"> </w:t>
      </w:r>
      <w:r w:rsidR="006F560D" w:rsidRPr="00955318">
        <w:rPr>
          <w:rFonts w:ascii="Palatino Linotype" w:hAnsi="Palatino Linotype" w:cs="Arial"/>
          <w:sz w:val="24"/>
          <w:szCs w:val="24"/>
        </w:rPr>
        <w:t xml:space="preserve">la ponencia </w:t>
      </w:r>
      <w:proofErr w:type="spellStart"/>
      <w:r w:rsidR="006F560D" w:rsidRPr="00955318">
        <w:rPr>
          <w:rFonts w:ascii="Palatino Linotype" w:hAnsi="Palatino Linotype" w:cs="Arial"/>
          <w:sz w:val="24"/>
          <w:szCs w:val="24"/>
        </w:rPr>
        <w:t>resolutora</w:t>
      </w:r>
      <w:proofErr w:type="spellEnd"/>
      <w:r w:rsidR="009278DB" w:rsidRPr="00955318">
        <w:rPr>
          <w:rFonts w:ascii="Palatino Linotype" w:hAnsi="Palatino Linotype" w:cs="Arial"/>
          <w:sz w:val="24"/>
          <w:szCs w:val="24"/>
        </w:rPr>
        <w:t xml:space="preserve"> debió poner a la vista de la</w:t>
      </w:r>
      <w:r w:rsidR="000A7BF7" w:rsidRPr="00955318">
        <w:rPr>
          <w:rFonts w:ascii="Palatino Linotype" w:hAnsi="Palatino Linotype" w:cs="Arial"/>
          <w:sz w:val="24"/>
          <w:szCs w:val="24"/>
        </w:rPr>
        <w:t xml:space="preserve"> recurrente para que se manifestara conforme a su derecho y no se dejara en estado de indefensión</w:t>
      </w:r>
      <w:r w:rsidR="00EB0884" w:rsidRPr="00955318">
        <w:rPr>
          <w:rFonts w:ascii="Palatino Linotype" w:hAnsi="Palatino Linotype" w:cs="Arial"/>
          <w:sz w:val="24"/>
          <w:szCs w:val="24"/>
        </w:rPr>
        <w:t xml:space="preserve"> al ciudadano</w:t>
      </w:r>
      <w:r w:rsidR="000A7BF7" w:rsidRPr="00955318">
        <w:rPr>
          <w:rFonts w:ascii="Palatino Linotype" w:hAnsi="Palatino Linotype" w:cs="Arial"/>
          <w:sz w:val="24"/>
          <w:szCs w:val="24"/>
        </w:rPr>
        <w:t xml:space="preserve">, y así emitir un resolución conforme a derecho; máxime que este Instituto de Transparencia, es el Órgano público estatal constitucionalmente autónomo, especializado, independiente, imparcial y colegiado, responsable de garantizar tanto </w:t>
      </w:r>
      <w:r w:rsidR="000A7BF7" w:rsidRPr="00955318">
        <w:rPr>
          <w:rFonts w:ascii="Palatino Linotype" w:hAnsi="Palatino Linotype" w:cs="Arial"/>
          <w:sz w:val="24"/>
          <w:szCs w:val="24"/>
        </w:rPr>
        <w:lastRenderedPageBreak/>
        <w:t>el derecho de acceso a la información pública y la protección de datos personales en posesión de los sujetos obligados; lo cual, lo faculta para establecer la determinaciones necesarias tendientes a satisfacer el Derecho de Acceso a la Información de los gobernados en observancia de los principios de publicidad, certeza, eficacia, legalidad, objetividad, profesionalismo, simplicidad, rapidez y transparencia ya mencionados; como así se lo permite la fracción II del artículo 2 de la Ley de Transparencia y Acceso a la Información Pública del Estado de México y Municipios, prevé que son objetivos de la misma proveer lo necesario para garantizar a toda persona el derecho de acceso a la información pública, a través de procedimientos sencillos, expeditos, oportunos y gratuitos</w:t>
      </w:r>
    </w:p>
    <w:p w:rsidR="009514EE" w:rsidRPr="00955318" w:rsidRDefault="009514EE" w:rsidP="00DE6C84">
      <w:pPr>
        <w:spacing w:before="240" w:after="240" w:line="240" w:lineRule="auto"/>
        <w:ind w:left="426" w:right="616"/>
        <w:contextualSpacing/>
        <w:jc w:val="both"/>
        <w:rPr>
          <w:rFonts w:ascii="Palatino Linotype" w:eastAsia="Times New Roman" w:hAnsi="Palatino Linotype" w:cs="Times New Roman"/>
          <w:i/>
          <w:lang w:val="es-ES_tradnl" w:eastAsia="es-ES"/>
        </w:rPr>
      </w:pPr>
    </w:p>
    <w:p w:rsidR="000A7BF7" w:rsidRPr="00955318" w:rsidRDefault="000A7BF7" w:rsidP="000A7BF7">
      <w:pPr>
        <w:spacing w:before="240" w:after="0" w:line="360" w:lineRule="auto"/>
        <w:jc w:val="both"/>
        <w:rPr>
          <w:rFonts w:ascii="Palatino Linotype" w:hAnsi="Palatino Linotype" w:cs="Arial"/>
          <w:sz w:val="24"/>
          <w:szCs w:val="24"/>
        </w:rPr>
      </w:pPr>
      <w:r w:rsidRPr="00955318">
        <w:rPr>
          <w:rFonts w:ascii="Palatino Linotype" w:hAnsi="Palatino Linotype" w:cs="Arial"/>
          <w:sz w:val="24"/>
          <w:szCs w:val="24"/>
        </w:rPr>
        <w:t>Por todo lo expuesto es que formulo el presente voto particular, en los términos precisados, considerando que las reflexiones aquí expuestas hubieran resultado importantes para emitir una resolución más apegada a Derecho.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0A7BF7" w:rsidRPr="00955318" w:rsidTr="005857E0">
        <w:trPr>
          <w:trHeight w:val="809"/>
          <w:jc w:val="center"/>
        </w:trPr>
        <w:tc>
          <w:tcPr>
            <w:tcW w:w="4396" w:type="dxa"/>
          </w:tcPr>
          <w:p w:rsidR="000A7BF7" w:rsidRPr="00955318" w:rsidRDefault="000A7BF7" w:rsidP="005857E0">
            <w:pPr>
              <w:jc w:val="center"/>
              <w:rPr>
                <w:rFonts w:ascii="Palatino Linotype" w:hAnsi="Palatino Linotype"/>
                <w:b/>
                <w:sz w:val="24"/>
                <w:szCs w:val="24"/>
              </w:rPr>
            </w:pPr>
          </w:p>
          <w:p w:rsidR="000A7BF7" w:rsidRPr="00955318" w:rsidRDefault="000A7BF7" w:rsidP="005857E0">
            <w:pPr>
              <w:jc w:val="center"/>
              <w:rPr>
                <w:rFonts w:ascii="Palatino Linotype" w:hAnsi="Palatino Linotype"/>
                <w:b/>
                <w:sz w:val="24"/>
                <w:szCs w:val="24"/>
              </w:rPr>
            </w:pPr>
          </w:p>
          <w:p w:rsidR="000A7BF7" w:rsidRPr="00955318" w:rsidRDefault="000A7BF7" w:rsidP="005857E0">
            <w:pPr>
              <w:jc w:val="center"/>
              <w:rPr>
                <w:rFonts w:ascii="Palatino Linotype" w:hAnsi="Palatino Linotype"/>
                <w:b/>
                <w:sz w:val="24"/>
                <w:szCs w:val="24"/>
              </w:rPr>
            </w:pPr>
          </w:p>
          <w:p w:rsidR="000A7BF7" w:rsidRPr="00955318" w:rsidRDefault="000A7BF7" w:rsidP="005857E0">
            <w:pPr>
              <w:jc w:val="center"/>
              <w:rPr>
                <w:rFonts w:ascii="Palatino Linotype" w:hAnsi="Palatino Linotype"/>
                <w:b/>
                <w:sz w:val="24"/>
                <w:szCs w:val="24"/>
              </w:rPr>
            </w:pPr>
          </w:p>
          <w:p w:rsidR="000A7BF7" w:rsidRPr="00955318" w:rsidRDefault="000A7BF7" w:rsidP="005857E0">
            <w:pPr>
              <w:jc w:val="center"/>
              <w:rPr>
                <w:rFonts w:ascii="Palatino Linotype" w:hAnsi="Palatino Linotype"/>
                <w:b/>
                <w:sz w:val="24"/>
                <w:szCs w:val="24"/>
              </w:rPr>
            </w:pPr>
            <w:r w:rsidRPr="00955318">
              <w:rPr>
                <w:rFonts w:ascii="Palatino Linotype" w:hAnsi="Palatino Linotype"/>
                <w:b/>
                <w:sz w:val="24"/>
                <w:szCs w:val="24"/>
              </w:rPr>
              <w:t>Javier Martínez Cruz</w:t>
            </w:r>
          </w:p>
        </w:tc>
      </w:tr>
      <w:tr w:rsidR="00955318" w:rsidRPr="00955318" w:rsidTr="005857E0">
        <w:trPr>
          <w:trHeight w:val="809"/>
          <w:jc w:val="center"/>
        </w:trPr>
        <w:tc>
          <w:tcPr>
            <w:tcW w:w="4396" w:type="dxa"/>
          </w:tcPr>
          <w:p w:rsidR="00955318" w:rsidRPr="00955318" w:rsidRDefault="00955318" w:rsidP="005857E0">
            <w:pPr>
              <w:jc w:val="center"/>
              <w:rPr>
                <w:rFonts w:ascii="Palatino Linotype" w:hAnsi="Palatino Linotype"/>
                <w:b/>
                <w:sz w:val="24"/>
                <w:szCs w:val="24"/>
              </w:rPr>
            </w:pPr>
          </w:p>
        </w:tc>
        <w:bookmarkStart w:id="0" w:name="_GoBack"/>
        <w:bookmarkEnd w:id="0"/>
      </w:tr>
      <w:tr w:rsidR="00FF17D4" w:rsidRPr="00FF17D4" w:rsidTr="005857E0">
        <w:trPr>
          <w:trHeight w:val="319"/>
          <w:jc w:val="center"/>
        </w:trPr>
        <w:tc>
          <w:tcPr>
            <w:tcW w:w="4396" w:type="dxa"/>
          </w:tcPr>
          <w:p w:rsidR="000A7BF7" w:rsidRPr="00FF17D4" w:rsidRDefault="000A7BF7" w:rsidP="005857E0">
            <w:pPr>
              <w:jc w:val="center"/>
              <w:rPr>
                <w:rFonts w:ascii="Palatino Linotype" w:hAnsi="Palatino Linotype"/>
                <w:b/>
                <w:sz w:val="24"/>
                <w:szCs w:val="24"/>
              </w:rPr>
            </w:pPr>
            <w:r w:rsidRPr="00FF17D4">
              <w:rPr>
                <w:rFonts w:ascii="Palatino Linotype" w:hAnsi="Palatino Linotype"/>
                <w:b/>
                <w:sz w:val="24"/>
                <w:szCs w:val="24"/>
              </w:rPr>
              <w:t>Comisionado</w:t>
            </w:r>
          </w:p>
          <w:p w:rsidR="000A7BF7" w:rsidRPr="00FF17D4" w:rsidRDefault="00C86502" w:rsidP="005857E0">
            <w:pPr>
              <w:jc w:val="center"/>
              <w:rPr>
                <w:rFonts w:ascii="Palatino Linotype" w:hAnsi="Palatino Linotype"/>
                <w:b/>
                <w:sz w:val="24"/>
                <w:szCs w:val="24"/>
              </w:rPr>
            </w:pPr>
            <w:r w:rsidRPr="00FF17D4">
              <w:rPr>
                <w:rFonts w:ascii="Palatino Linotype" w:hAnsi="Palatino Linotype"/>
                <w:b/>
                <w:sz w:val="24"/>
                <w:szCs w:val="24"/>
              </w:rPr>
              <w:t>(Rúbrica)</w:t>
            </w:r>
          </w:p>
        </w:tc>
      </w:tr>
    </w:tbl>
    <w:p w:rsidR="000A7BF7" w:rsidRDefault="000A7BF7" w:rsidP="000A7BF7"/>
    <w:p w:rsidR="000A7BF7" w:rsidRPr="00875530" w:rsidRDefault="000A7BF7" w:rsidP="000A7BF7">
      <w:pPr>
        <w:rPr>
          <w:sz w:val="24"/>
          <w:szCs w:val="24"/>
        </w:rPr>
      </w:pPr>
    </w:p>
    <w:p w:rsidR="00E9188C" w:rsidRDefault="00E9188C"/>
    <w:sectPr w:rsidR="00E9188C" w:rsidSect="005857E0">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5D5" w:rsidRDefault="002175D5" w:rsidP="00CF3264">
      <w:pPr>
        <w:spacing w:after="0" w:line="240" w:lineRule="auto"/>
      </w:pPr>
      <w:r>
        <w:separator/>
      </w:r>
    </w:p>
  </w:endnote>
  <w:endnote w:type="continuationSeparator" w:id="0">
    <w:p w:rsidR="002175D5" w:rsidRDefault="002175D5" w:rsidP="00CF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544550"/>
      <w:docPartObj>
        <w:docPartGallery w:val="Page Numbers (Bottom of Page)"/>
        <w:docPartUnique/>
      </w:docPartObj>
    </w:sdtPr>
    <w:sdtEndPr/>
    <w:sdtContent>
      <w:p w:rsidR="005857E0" w:rsidRDefault="005857E0">
        <w:pPr>
          <w:pStyle w:val="Piedepgina"/>
          <w:jc w:val="right"/>
        </w:pPr>
        <w:r>
          <w:fldChar w:fldCharType="begin"/>
        </w:r>
        <w:r>
          <w:instrText>PAGE   \* MERGEFORMAT</w:instrText>
        </w:r>
        <w:r>
          <w:fldChar w:fldCharType="separate"/>
        </w:r>
        <w:r w:rsidR="00FF17D4" w:rsidRPr="00FF17D4">
          <w:rPr>
            <w:noProof/>
            <w:lang w:val="es-ES"/>
          </w:rPr>
          <w:t>4</w:t>
        </w:r>
        <w:r>
          <w:fldChar w:fldCharType="end"/>
        </w:r>
      </w:p>
    </w:sdtContent>
  </w:sdt>
  <w:p w:rsidR="005857E0" w:rsidRDefault="005857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5D5" w:rsidRDefault="002175D5" w:rsidP="00CF3264">
      <w:pPr>
        <w:spacing w:after="0" w:line="240" w:lineRule="auto"/>
      </w:pPr>
      <w:r>
        <w:separator/>
      </w:r>
    </w:p>
  </w:footnote>
  <w:footnote w:type="continuationSeparator" w:id="0">
    <w:p w:rsidR="002175D5" w:rsidRDefault="002175D5" w:rsidP="00CF3264">
      <w:pPr>
        <w:spacing w:after="0" w:line="240" w:lineRule="auto"/>
      </w:pPr>
      <w:r>
        <w:continuationSeparator/>
      </w:r>
    </w:p>
  </w:footnote>
  <w:footnote w:id="1">
    <w:p w:rsidR="005857E0" w:rsidRPr="0055120A" w:rsidRDefault="005857E0" w:rsidP="0055120A">
      <w:pPr>
        <w:spacing w:before="240" w:after="240" w:line="240" w:lineRule="auto"/>
        <w:contextualSpacing/>
        <w:jc w:val="both"/>
        <w:rPr>
          <w:rFonts w:ascii="Palatino Linotype" w:hAnsi="Palatino Linotype" w:cs="Arial"/>
          <w:sz w:val="16"/>
          <w:szCs w:val="16"/>
        </w:rPr>
      </w:pPr>
      <w:r w:rsidRPr="0055120A">
        <w:rPr>
          <w:rFonts w:ascii="Palatino Linotype" w:hAnsi="Palatino Linotype" w:cs="Arial"/>
          <w:sz w:val="16"/>
          <w:szCs w:val="16"/>
        </w:rPr>
        <w:footnoteRef/>
      </w:r>
      <w:r w:rsidRPr="0055120A">
        <w:rPr>
          <w:rFonts w:ascii="Palatino Linotype" w:hAnsi="Palatino Linotype" w:cs="Arial"/>
          <w:sz w:val="16"/>
          <w:szCs w:val="16"/>
        </w:rPr>
        <w:t xml:space="preserve"> </w:t>
      </w:r>
      <w:r>
        <w:rPr>
          <w:rFonts w:ascii="Palatino Linotype" w:hAnsi="Palatino Linotype" w:cs="Arial"/>
          <w:sz w:val="16"/>
          <w:szCs w:val="16"/>
        </w:rPr>
        <w:t>El principio de seguridad ju</w:t>
      </w:r>
      <w:r w:rsidRPr="0055120A">
        <w:rPr>
          <w:rFonts w:ascii="Palatino Linotype" w:hAnsi="Palatino Linotype" w:cs="Arial"/>
          <w:sz w:val="16"/>
          <w:szCs w:val="16"/>
        </w:rPr>
        <w:t>rídica, en consecuencia, debe entenderse como la confianza que los ciudadanos pueden tener en la observancia y respeto de las situaciones derivadas de la aplicación de normas válidas y  vigentes.</w:t>
      </w:r>
    </w:p>
  </w:footnote>
  <w:footnote w:id="2">
    <w:p w:rsidR="005857E0" w:rsidRPr="0055120A" w:rsidRDefault="005857E0" w:rsidP="0055120A">
      <w:pPr>
        <w:spacing w:before="240" w:after="240" w:line="240" w:lineRule="auto"/>
        <w:contextualSpacing/>
        <w:jc w:val="both"/>
        <w:rPr>
          <w:rFonts w:ascii="Palatino Linotype" w:hAnsi="Palatino Linotype" w:cs="Arial"/>
          <w:sz w:val="16"/>
          <w:szCs w:val="16"/>
        </w:rPr>
      </w:pPr>
      <w:r w:rsidRPr="0055120A">
        <w:rPr>
          <w:rFonts w:ascii="Palatino Linotype" w:hAnsi="Palatino Linotype" w:cs="Arial"/>
          <w:sz w:val="16"/>
          <w:szCs w:val="16"/>
        </w:rPr>
        <w:footnoteRef/>
      </w:r>
      <w:r w:rsidRPr="0055120A">
        <w:rPr>
          <w:rFonts w:ascii="Palatino Linotype" w:hAnsi="Palatino Linotype" w:cs="Arial"/>
          <w:sz w:val="16"/>
          <w:szCs w:val="16"/>
        </w:rPr>
        <w:t xml:space="preserve"> Tribunal Constitucional español, (STC 36/  1991).</w:t>
      </w:r>
    </w:p>
    <w:p w:rsidR="005857E0" w:rsidRPr="0055120A" w:rsidRDefault="005857E0" w:rsidP="0055120A">
      <w:pPr>
        <w:spacing w:before="240" w:after="240" w:line="240" w:lineRule="auto"/>
        <w:contextualSpacing/>
        <w:jc w:val="both"/>
        <w:rPr>
          <w:rFonts w:ascii="Palatino Linotype" w:hAnsi="Palatino Linotype"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7E0" w:rsidRDefault="00FF17D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0" type="#_x0000_t75" style="position:absolute;margin-left:0;margin-top:0;width:598.5pt;height:779.25pt;z-index:-251656192;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7E0" w:rsidRDefault="00FF17D4" w:rsidP="005857E0">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1" type="#_x0000_t75" style="position:absolute;left:0;text-align:left;margin-left:-80.15pt;margin-top:-114.85pt;width:598.5pt;height:779.25pt;z-index:-251655168;mso-position-horizontal-relative:margin;mso-position-vertical-relative:margin" o:allowincell="f">
          <v:imagedata r:id="rId1" o:title="fondo opinion particular"/>
          <w10:wrap anchorx="margin" anchory="margin"/>
        </v:shape>
      </w:pict>
    </w:r>
  </w:p>
  <w:p w:rsidR="005857E0" w:rsidRDefault="005857E0" w:rsidP="005857E0">
    <w:pPr>
      <w:pStyle w:val="Encabezado"/>
      <w:jc w:val="right"/>
      <w:rPr>
        <w:rFonts w:ascii="Palatino Linotype" w:hAnsi="Palatino Linotype"/>
        <w:b/>
      </w:rPr>
    </w:pPr>
    <w:r>
      <w:rPr>
        <w:rFonts w:ascii="Palatino Linotype" w:hAnsi="Palatino Linotype"/>
        <w:b/>
      </w:rPr>
      <w:t>VOTO PARTICULAR</w:t>
    </w:r>
  </w:p>
  <w:p w:rsidR="005857E0" w:rsidRPr="002A7C5D" w:rsidRDefault="005857E0" w:rsidP="005857E0">
    <w:pPr>
      <w:pStyle w:val="Encabezado"/>
      <w:jc w:val="right"/>
      <w:rPr>
        <w:rFonts w:ascii="Palatino Linotype" w:hAnsi="Palatino Linotype"/>
        <w:b/>
      </w:rPr>
    </w:pPr>
    <w:r w:rsidRPr="002A7C5D">
      <w:rPr>
        <w:rFonts w:ascii="Palatino Linotype" w:hAnsi="Palatino Linotype"/>
        <w:b/>
      </w:rPr>
      <w:t xml:space="preserve">RECURSO DE REVISIÓN </w:t>
    </w:r>
    <w:r w:rsidR="004C09D2">
      <w:rPr>
        <w:rFonts w:ascii="Palatino Linotype" w:hAnsi="Palatino Linotype" w:cs="Arial"/>
        <w:b/>
        <w:bCs/>
        <w:sz w:val="24"/>
        <w:szCs w:val="24"/>
        <w:lang w:eastAsia="es-MX"/>
      </w:rPr>
      <w:t>00472</w:t>
    </w:r>
    <w:r w:rsidR="006856E7">
      <w:rPr>
        <w:rFonts w:ascii="Palatino Linotype" w:hAnsi="Palatino Linotype" w:cs="Arial"/>
        <w:b/>
        <w:bCs/>
        <w:sz w:val="24"/>
        <w:szCs w:val="24"/>
        <w:lang w:eastAsia="es-MX"/>
      </w:rPr>
      <w:t>/INFOEM/IP/RR/2019</w:t>
    </w:r>
    <w:r>
      <w:rPr>
        <w:rFonts w:ascii="Palatino Linotype" w:hAnsi="Palatino Linotype" w:cs="Arial"/>
        <w:b/>
        <w:bCs/>
        <w:sz w:val="24"/>
        <w:szCs w:val="24"/>
        <w:lang w:eastAsia="es-MX"/>
      </w:rPr>
      <w:t xml:space="preserve"> </w:t>
    </w:r>
    <w:r w:rsidR="004C09D2">
      <w:rPr>
        <w:rFonts w:ascii="Palatino Linotype" w:hAnsi="Palatino Linotype" w:cs="Arial"/>
        <w:b/>
        <w:bCs/>
        <w:sz w:val="24"/>
        <w:szCs w:val="24"/>
        <w:lang w:eastAsia="es-MX"/>
      </w:rPr>
      <w:t>y acumulado</w:t>
    </w:r>
  </w:p>
  <w:p w:rsidR="005857E0" w:rsidRPr="00C51F7E" w:rsidRDefault="005857E0" w:rsidP="005857E0">
    <w:pPr>
      <w:pStyle w:val="Encabezado"/>
      <w:jc w:val="right"/>
      <w:rPr>
        <w:rFonts w:ascii="Palatino Linotype" w:hAnsi="Palatino Linotype"/>
      </w:rPr>
    </w:pPr>
  </w:p>
  <w:p w:rsidR="005857E0" w:rsidRDefault="005857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7E0" w:rsidRDefault="00FF17D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49"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F7"/>
    <w:rsid w:val="0008652D"/>
    <w:rsid w:val="000A31BF"/>
    <w:rsid w:val="000A7BF7"/>
    <w:rsid w:val="001B15D3"/>
    <w:rsid w:val="002175D5"/>
    <w:rsid w:val="00221673"/>
    <w:rsid w:val="00275E86"/>
    <w:rsid w:val="00441FCA"/>
    <w:rsid w:val="00480C6D"/>
    <w:rsid w:val="004C09D2"/>
    <w:rsid w:val="00546029"/>
    <w:rsid w:val="0055120A"/>
    <w:rsid w:val="005857E0"/>
    <w:rsid w:val="006856E7"/>
    <w:rsid w:val="006F560D"/>
    <w:rsid w:val="00742942"/>
    <w:rsid w:val="007D026D"/>
    <w:rsid w:val="007E5647"/>
    <w:rsid w:val="0085799A"/>
    <w:rsid w:val="00921805"/>
    <w:rsid w:val="009278DB"/>
    <w:rsid w:val="009514EE"/>
    <w:rsid w:val="00955318"/>
    <w:rsid w:val="009B503C"/>
    <w:rsid w:val="009C42ED"/>
    <w:rsid w:val="00A04579"/>
    <w:rsid w:val="00A20C0D"/>
    <w:rsid w:val="00AE2DCE"/>
    <w:rsid w:val="00B14F60"/>
    <w:rsid w:val="00BA1613"/>
    <w:rsid w:val="00C55AE5"/>
    <w:rsid w:val="00C86502"/>
    <w:rsid w:val="00CF3264"/>
    <w:rsid w:val="00DE696A"/>
    <w:rsid w:val="00DE6C84"/>
    <w:rsid w:val="00E40939"/>
    <w:rsid w:val="00E9188C"/>
    <w:rsid w:val="00E94B0C"/>
    <w:rsid w:val="00EB0884"/>
    <w:rsid w:val="00F119F7"/>
    <w:rsid w:val="00F40918"/>
    <w:rsid w:val="00FF17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2D1F094-FB49-4565-9D16-44A75106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B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7B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7BF7"/>
  </w:style>
  <w:style w:type="table" w:styleId="Tablaconcuadrcula">
    <w:name w:val="Table Grid"/>
    <w:basedOn w:val="Tablanormal"/>
    <w:uiPriority w:val="39"/>
    <w:rsid w:val="000A7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A7BF7"/>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iedepgina">
    <w:name w:val="footer"/>
    <w:basedOn w:val="Normal"/>
    <w:link w:val="PiedepginaCar"/>
    <w:uiPriority w:val="99"/>
    <w:unhideWhenUsed/>
    <w:rsid w:val="00CF32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264"/>
  </w:style>
  <w:style w:type="paragraph" w:styleId="Textodeglobo">
    <w:name w:val="Balloon Text"/>
    <w:basedOn w:val="Normal"/>
    <w:link w:val="TextodegloboCar"/>
    <w:uiPriority w:val="99"/>
    <w:semiHidden/>
    <w:unhideWhenUsed/>
    <w:rsid w:val="00441F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1FCA"/>
    <w:rPr>
      <w:rFonts w:ascii="Segoe UI" w:hAnsi="Segoe UI" w:cs="Segoe UI"/>
      <w:sz w:val="18"/>
      <w:szCs w:val="18"/>
    </w:rPr>
  </w:style>
  <w:style w:type="paragraph" w:styleId="Textoindependiente">
    <w:name w:val="Body Text"/>
    <w:basedOn w:val="Normal"/>
    <w:link w:val="TextoindependienteCar"/>
    <w:uiPriority w:val="1"/>
    <w:qFormat/>
    <w:rsid w:val="009C42ED"/>
    <w:pPr>
      <w:widowControl w:val="0"/>
      <w:spacing w:after="0" w:line="240" w:lineRule="auto"/>
      <w:ind w:left="112" w:hanging="5"/>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9C42ED"/>
    <w:rPr>
      <w:rFonts w:ascii="Times New Roman" w:eastAsia="Times New Roman" w:hAnsi="Times New Roman"/>
      <w:sz w:val="25"/>
      <w:szCs w:val="25"/>
      <w:lang w:val="en-US"/>
    </w:rPr>
  </w:style>
  <w:style w:type="paragraph" w:styleId="Textonotapie">
    <w:name w:val="footnote text"/>
    <w:basedOn w:val="Normal"/>
    <w:link w:val="TextonotapieCar"/>
    <w:uiPriority w:val="99"/>
    <w:semiHidden/>
    <w:unhideWhenUsed/>
    <w:rsid w:val="005512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120A"/>
    <w:rPr>
      <w:sz w:val="20"/>
      <w:szCs w:val="20"/>
    </w:rPr>
  </w:style>
  <w:style w:type="character" w:styleId="Refdenotaalpie">
    <w:name w:val="footnote reference"/>
    <w:basedOn w:val="Fuentedeprrafopredeter"/>
    <w:uiPriority w:val="99"/>
    <w:semiHidden/>
    <w:unhideWhenUsed/>
    <w:rsid w:val="0055120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856E7"/>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856E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F86FB-A517-419F-BDFD-F6DD11A1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1218</Words>
  <Characters>6700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4</cp:revision>
  <cp:lastPrinted>2019-04-29T22:34:00Z</cp:lastPrinted>
  <dcterms:created xsi:type="dcterms:W3CDTF">2019-04-29T17:54:00Z</dcterms:created>
  <dcterms:modified xsi:type="dcterms:W3CDTF">2019-04-29T22:40:00Z</dcterms:modified>
</cp:coreProperties>
</file>